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88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695"/>
        <w:gridCol w:w="8190"/>
      </w:tblGrid>
      <w:tr w:rsidR="00282FE0" w14:paraId="086B58C5" w14:textId="77777777" w:rsidTr="00316646">
        <w:tc>
          <w:tcPr>
            <w:tcW w:w="2695" w:type="dxa"/>
          </w:tcPr>
          <w:p w14:paraId="5BE2016F" w14:textId="77777777" w:rsidR="00282FE0" w:rsidRDefault="00282FE0">
            <w:r>
              <w:t>Course Code:</w:t>
            </w:r>
          </w:p>
        </w:tc>
        <w:tc>
          <w:tcPr>
            <w:tcW w:w="8190" w:type="dxa"/>
          </w:tcPr>
          <w:p w14:paraId="672A6659" w14:textId="1D3F7EA1" w:rsidR="00282FE0" w:rsidRPr="00316646" w:rsidRDefault="5AF5E05C" w:rsidP="00316646">
            <w:pPr>
              <w:rPr>
                <w:rFonts w:cstheme="minorHAnsi"/>
              </w:rPr>
            </w:pPr>
            <w:r w:rsidRPr="00316646">
              <w:rPr>
                <w:rFonts w:cstheme="minorHAnsi"/>
              </w:rPr>
              <w:t>MEDI-G800</w:t>
            </w:r>
          </w:p>
        </w:tc>
      </w:tr>
      <w:tr w:rsidR="00282FE0" w14:paraId="6023B4FE" w14:textId="77777777" w:rsidTr="00316646">
        <w:tc>
          <w:tcPr>
            <w:tcW w:w="2695" w:type="dxa"/>
          </w:tcPr>
          <w:p w14:paraId="3B847501" w14:textId="77777777" w:rsidR="00282FE0" w:rsidRDefault="00282FE0">
            <w:r>
              <w:t>Name of Rotation/Elective:</w:t>
            </w:r>
          </w:p>
        </w:tc>
        <w:tc>
          <w:tcPr>
            <w:tcW w:w="8190" w:type="dxa"/>
          </w:tcPr>
          <w:p w14:paraId="0A37501D" w14:textId="5A461786" w:rsidR="00282FE0" w:rsidRPr="00316646" w:rsidRDefault="5AF5E05C" w:rsidP="00316646">
            <w:pPr>
              <w:rPr>
                <w:rFonts w:cstheme="minorHAnsi"/>
              </w:rPr>
            </w:pPr>
            <w:r w:rsidRPr="00316646">
              <w:rPr>
                <w:rFonts w:cstheme="minorHAnsi"/>
              </w:rPr>
              <w:t>Medical Teaching Service (MTS) Acting Internship</w:t>
            </w:r>
          </w:p>
        </w:tc>
      </w:tr>
      <w:tr w:rsidR="00282FE0" w14:paraId="0BA95213" w14:textId="77777777" w:rsidTr="00316646">
        <w:tc>
          <w:tcPr>
            <w:tcW w:w="2695" w:type="dxa"/>
          </w:tcPr>
          <w:p w14:paraId="6B041C76" w14:textId="77777777" w:rsidR="00282FE0" w:rsidRDefault="00282FE0">
            <w:r>
              <w:t>Duration:</w:t>
            </w:r>
          </w:p>
        </w:tc>
        <w:tc>
          <w:tcPr>
            <w:tcW w:w="8190" w:type="dxa"/>
          </w:tcPr>
          <w:p w14:paraId="4C06AF2A" w14:textId="581565EF" w:rsidR="00282FE0" w:rsidRPr="00316646" w:rsidRDefault="5AF5E05C" w:rsidP="00316646">
            <w:pPr>
              <w:rPr>
                <w:rFonts w:cstheme="minorHAnsi"/>
              </w:rPr>
            </w:pPr>
            <w:r w:rsidRPr="00316646">
              <w:rPr>
                <w:rFonts w:cstheme="minorHAnsi"/>
              </w:rPr>
              <w:t>4 weeks</w:t>
            </w:r>
          </w:p>
        </w:tc>
      </w:tr>
      <w:tr w:rsidR="00282FE0" w14:paraId="510750B6" w14:textId="77777777" w:rsidTr="00316646">
        <w:tc>
          <w:tcPr>
            <w:tcW w:w="2695" w:type="dxa"/>
          </w:tcPr>
          <w:p w14:paraId="64C101A0" w14:textId="77777777" w:rsidR="00282FE0" w:rsidRDefault="00282FE0">
            <w:r>
              <w:t>Possible Rotation Dates:</w:t>
            </w:r>
          </w:p>
        </w:tc>
        <w:tc>
          <w:tcPr>
            <w:tcW w:w="8190" w:type="dxa"/>
          </w:tcPr>
          <w:p w14:paraId="7BBCA276" w14:textId="77777777" w:rsidR="00470378" w:rsidRDefault="00470378" w:rsidP="00470378">
            <w:pPr>
              <w:pStyle w:val="ListParagraph"/>
              <w:numPr>
                <w:ilvl w:val="0"/>
                <w:numId w:val="4"/>
              </w:numPr>
              <w:contextualSpacing w:val="0"/>
              <w:rPr>
                <w:rFonts w:eastAsia="Times New Roman"/>
                <w14:ligatures w14:val="standardContextual"/>
              </w:rPr>
            </w:pPr>
            <w:r>
              <w:rPr>
                <w:rFonts w:eastAsia="Times New Roman"/>
                <w14:ligatures w14:val="standardContextual"/>
              </w:rPr>
              <w:t>August 26 – September 20, 2024</w:t>
            </w:r>
          </w:p>
          <w:p w14:paraId="0EB18793" w14:textId="77777777" w:rsidR="00470378" w:rsidRDefault="00470378" w:rsidP="00470378">
            <w:pPr>
              <w:pStyle w:val="ListParagraph"/>
              <w:numPr>
                <w:ilvl w:val="0"/>
                <w:numId w:val="4"/>
              </w:numPr>
              <w:contextualSpacing w:val="0"/>
              <w:rPr>
                <w:rFonts w:eastAsia="Times New Roman"/>
                <w14:ligatures w14:val="standardContextual"/>
              </w:rPr>
            </w:pPr>
            <w:r>
              <w:rPr>
                <w:rFonts w:eastAsia="Times New Roman"/>
                <w14:ligatures w14:val="standardContextual"/>
              </w:rPr>
              <w:t>September 23 – October 18, 2024</w:t>
            </w:r>
          </w:p>
          <w:p w14:paraId="4BAACBDF" w14:textId="77777777" w:rsidR="00470378" w:rsidRDefault="00470378" w:rsidP="00470378">
            <w:pPr>
              <w:pStyle w:val="ListParagraph"/>
              <w:numPr>
                <w:ilvl w:val="0"/>
                <w:numId w:val="4"/>
              </w:numPr>
              <w:contextualSpacing w:val="0"/>
              <w:rPr>
                <w:rFonts w:eastAsia="Times New Roman"/>
                <w14:ligatures w14:val="standardContextual"/>
              </w:rPr>
            </w:pPr>
            <w:r>
              <w:rPr>
                <w:rFonts w:eastAsia="Times New Roman"/>
                <w14:ligatures w14:val="standardContextual"/>
              </w:rPr>
              <w:t>October 21 – November 15, 2024</w:t>
            </w:r>
          </w:p>
          <w:p w14:paraId="725C1010" w14:textId="77777777" w:rsidR="00470378" w:rsidRDefault="00470378" w:rsidP="00470378">
            <w:pPr>
              <w:pStyle w:val="ListParagraph"/>
              <w:numPr>
                <w:ilvl w:val="0"/>
                <w:numId w:val="4"/>
              </w:numPr>
              <w:contextualSpacing w:val="0"/>
              <w:rPr>
                <w:rFonts w:eastAsia="Times New Roman"/>
                <w14:ligatures w14:val="standardContextual"/>
              </w:rPr>
            </w:pPr>
            <w:r>
              <w:rPr>
                <w:rFonts w:eastAsia="Times New Roman"/>
                <w14:ligatures w14:val="standardContextual"/>
              </w:rPr>
              <w:t>November 18 – December 13, 2024</w:t>
            </w:r>
          </w:p>
          <w:p w14:paraId="27CF5E38" w14:textId="1C43406D" w:rsidR="00926864" w:rsidRPr="00470378" w:rsidRDefault="00470378" w:rsidP="00470378">
            <w:pPr>
              <w:pStyle w:val="ListParagraph"/>
              <w:numPr>
                <w:ilvl w:val="0"/>
                <w:numId w:val="4"/>
              </w:numPr>
              <w:contextualSpacing w:val="0"/>
              <w:rPr>
                <w:rFonts w:eastAsia="Times New Roman"/>
                <w14:ligatures w14:val="standardContextual"/>
              </w:rPr>
            </w:pPr>
            <w:r>
              <w:rPr>
                <w:rFonts w:eastAsia="Times New Roman"/>
                <w14:ligatures w14:val="standardContextual"/>
              </w:rPr>
              <w:t>January 6 – 31 2025</w:t>
            </w:r>
          </w:p>
        </w:tc>
      </w:tr>
      <w:tr w:rsidR="00282FE0" w14:paraId="51EBBE9C" w14:textId="77777777" w:rsidTr="00316646">
        <w:tc>
          <w:tcPr>
            <w:tcW w:w="2695" w:type="dxa"/>
          </w:tcPr>
          <w:p w14:paraId="0C0147FE" w14:textId="77777777" w:rsidR="00282FE0" w:rsidRDefault="00282FE0">
            <w:r>
              <w:t>Course Director:</w:t>
            </w:r>
          </w:p>
        </w:tc>
        <w:tc>
          <w:tcPr>
            <w:tcW w:w="8190" w:type="dxa"/>
          </w:tcPr>
          <w:p w14:paraId="02EB378F" w14:textId="512DE125" w:rsidR="00282FE0" w:rsidRPr="00316646" w:rsidRDefault="501B839F" w:rsidP="00316646">
            <w:pPr>
              <w:rPr>
                <w:rFonts w:cstheme="minorHAnsi"/>
              </w:rPr>
            </w:pPr>
            <w:r w:rsidRPr="00316646">
              <w:rPr>
                <w:rFonts w:cstheme="minorHAnsi"/>
              </w:rPr>
              <w:t>Shannon Burgess, MD</w:t>
            </w:r>
          </w:p>
        </w:tc>
      </w:tr>
      <w:tr w:rsidR="00282FE0" w14:paraId="54EEBE28" w14:textId="77777777" w:rsidTr="00316646">
        <w:tc>
          <w:tcPr>
            <w:tcW w:w="2695" w:type="dxa"/>
          </w:tcPr>
          <w:p w14:paraId="6CB25133" w14:textId="77777777" w:rsidR="00282FE0" w:rsidRDefault="00282FE0">
            <w:r>
              <w:t>Course Director Email:</w:t>
            </w:r>
          </w:p>
        </w:tc>
        <w:tc>
          <w:tcPr>
            <w:tcW w:w="8190" w:type="dxa"/>
          </w:tcPr>
          <w:p w14:paraId="6A05A809" w14:textId="28317D2E" w:rsidR="00470378" w:rsidRPr="00316646" w:rsidRDefault="00000000" w:rsidP="00470378">
            <w:pPr>
              <w:rPr>
                <w:rFonts w:cstheme="minorHAnsi"/>
              </w:rPr>
            </w:pPr>
            <w:hyperlink r:id="rId5" w:history="1">
              <w:r w:rsidR="00470378" w:rsidRPr="000D53B5">
                <w:rPr>
                  <w:rStyle w:val="Hyperlink"/>
                  <w:rFonts w:cstheme="minorHAnsi"/>
                </w:rPr>
                <w:t>Shannon.Burgess@prismahealth.org</w:t>
              </w:r>
            </w:hyperlink>
          </w:p>
        </w:tc>
      </w:tr>
      <w:tr w:rsidR="00282FE0" w14:paraId="707CA99E" w14:textId="77777777" w:rsidTr="00316646">
        <w:tc>
          <w:tcPr>
            <w:tcW w:w="2695" w:type="dxa"/>
          </w:tcPr>
          <w:p w14:paraId="4B13E927" w14:textId="77777777" w:rsidR="00282FE0" w:rsidRDefault="00282FE0">
            <w:r>
              <w:t>Course Coordinator:</w:t>
            </w:r>
          </w:p>
        </w:tc>
        <w:tc>
          <w:tcPr>
            <w:tcW w:w="8190" w:type="dxa"/>
          </w:tcPr>
          <w:p w14:paraId="5A39BBE3" w14:textId="31C6F258" w:rsidR="00282FE0" w:rsidRPr="00316646" w:rsidRDefault="501B839F" w:rsidP="00316646">
            <w:pPr>
              <w:rPr>
                <w:rFonts w:cstheme="minorHAnsi"/>
              </w:rPr>
            </w:pPr>
            <w:r w:rsidRPr="00316646">
              <w:rPr>
                <w:rFonts w:cstheme="minorHAnsi"/>
              </w:rPr>
              <w:t>Gabbie Greene</w:t>
            </w:r>
          </w:p>
        </w:tc>
      </w:tr>
      <w:tr w:rsidR="00282FE0" w14:paraId="576C615A" w14:textId="77777777" w:rsidTr="00316646">
        <w:tc>
          <w:tcPr>
            <w:tcW w:w="2695" w:type="dxa"/>
          </w:tcPr>
          <w:p w14:paraId="629D63D8" w14:textId="77777777" w:rsidR="00282FE0" w:rsidRDefault="00282FE0">
            <w:r>
              <w:t>Course Coordinator Email:</w:t>
            </w:r>
          </w:p>
        </w:tc>
        <w:tc>
          <w:tcPr>
            <w:tcW w:w="8190" w:type="dxa"/>
          </w:tcPr>
          <w:p w14:paraId="41C8F396" w14:textId="13123685" w:rsidR="00282FE0" w:rsidRPr="00316646" w:rsidRDefault="00000000" w:rsidP="00316646">
            <w:pPr>
              <w:rPr>
                <w:rFonts w:cstheme="minorHAnsi"/>
              </w:rPr>
            </w:pPr>
            <w:hyperlink r:id="rId6" w:history="1">
              <w:r w:rsidR="00470378" w:rsidRPr="000D53B5">
                <w:rPr>
                  <w:rStyle w:val="Hyperlink"/>
                  <w:rFonts w:cstheme="minorHAnsi"/>
                </w:rPr>
                <w:t>gnm@greenvillemed.sc.edu</w:t>
              </w:r>
            </w:hyperlink>
          </w:p>
        </w:tc>
      </w:tr>
      <w:tr w:rsidR="00282FE0" w14:paraId="74344650" w14:textId="77777777" w:rsidTr="00316646">
        <w:tc>
          <w:tcPr>
            <w:tcW w:w="2695" w:type="dxa"/>
          </w:tcPr>
          <w:p w14:paraId="3BCAD654" w14:textId="77777777" w:rsidR="00282FE0" w:rsidRDefault="00282FE0">
            <w:r>
              <w:t>Applicant Requirements:</w:t>
            </w:r>
          </w:p>
        </w:tc>
        <w:tc>
          <w:tcPr>
            <w:tcW w:w="8190" w:type="dxa"/>
          </w:tcPr>
          <w:p w14:paraId="5EC0C956" w14:textId="78989A4B" w:rsidR="007A0737" w:rsidRPr="007A0737" w:rsidRDefault="007A0737" w:rsidP="007A0737">
            <w:pPr>
              <w:pStyle w:val="ListParagraph"/>
              <w:numPr>
                <w:ilvl w:val="0"/>
                <w:numId w:val="10"/>
              </w:numPr>
              <w:rPr>
                <w:rFonts w:cstheme="minorHAnsi"/>
              </w:rPr>
            </w:pPr>
            <w:r w:rsidRPr="007A0737">
              <w:rPr>
                <w:rFonts w:cstheme="minorHAnsi"/>
              </w:rPr>
              <w:t>Must have a passing score for USMLE Step 1 or COMLEX Level 1. Applicants who have taken USMLE Step 1 are strongly preferred.</w:t>
            </w:r>
          </w:p>
          <w:p w14:paraId="24F8D2CB" w14:textId="540DAE01" w:rsidR="007A0737" w:rsidRPr="007A0737" w:rsidRDefault="007A0737" w:rsidP="007A0737">
            <w:pPr>
              <w:pStyle w:val="ListParagraph"/>
              <w:numPr>
                <w:ilvl w:val="0"/>
                <w:numId w:val="10"/>
              </w:numPr>
              <w:rPr>
                <w:rFonts w:cstheme="minorHAnsi"/>
              </w:rPr>
            </w:pPr>
            <w:r w:rsidRPr="007A0737">
              <w:rPr>
                <w:rFonts w:cstheme="minorHAnsi"/>
              </w:rPr>
              <w:t>Personal Statement: Why Prisma Health–Upstate? Why Internal Medicine? (</w:t>
            </w:r>
            <w:proofErr w:type="gramStart"/>
            <w:r w:rsidRPr="007A0737">
              <w:rPr>
                <w:rFonts w:cstheme="minorHAnsi"/>
              </w:rPr>
              <w:t>Typically</w:t>
            </w:r>
            <w:proofErr w:type="gramEnd"/>
            <w:r w:rsidRPr="007A0737">
              <w:rPr>
                <w:rFonts w:cstheme="minorHAnsi"/>
              </w:rPr>
              <w:t xml:space="preserve"> one page; minimum 2 paragraphs)</w:t>
            </w:r>
          </w:p>
          <w:p w14:paraId="1706378B" w14:textId="4226203D" w:rsidR="00282FE0" w:rsidRPr="00316646" w:rsidRDefault="007A0737" w:rsidP="007A0737">
            <w:pPr>
              <w:pStyle w:val="ListParagraph"/>
              <w:numPr>
                <w:ilvl w:val="0"/>
                <w:numId w:val="10"/>
              </w:numPr>
              <w:rPr>
                <w:rFonts w:cstheme="minorHAnsi"/>
              </w:rPr>
            </w:pPr>
            <w:r w:rsidRPr="007A0737">
              <w:rPr>
                <w:rFonts w:cstheme="minorHAnsi"/>
              </w:rPr>
              <w:t>Letter of Recommendation from one clinical faculty. This letter should speak to the applicant's character, reliability, and suitability for this field.</w:t>
            </w:r>
          </w:p>
        </w:tc>
      </w:tr>
      <w:tr w:rsidR="00282FE0" w14:paraId="47D0E756" w14:textId="77777777" w:rsidTr="00316646">
        <w:tc>
          <w:tcPr>
            <w:tcW w:w="2695" w:type="dxa"/>
          </w:tcPr>
          <w:p w14:paraId="427F5509" w14:textId="77777777" w:rsidR="00282FE0" w:rsidRDefault="00282FE0">
            <w:r>
              <w:t>Course Location:</w:t>
            </w:r>
          </w:p>
        </w:tc>
        <w:tc>
          <w:tcPr>
            <w:tcW w:w="8190" w:type="dxa"/>
          </w:tcPr>
          <w:p w14:paraId="72A3D3EC" w14:textId="4C5E78C9" w:rsidR="00282FE0" w:rsidRPr="00316646" w:rsidRDefault="2E6D4608" w:rsidP="00316646">
            <w:pPr>
              <w:rPr>
                <w:rFonts w:cstheme="minorHAnsi"/>
              </w:rPr>
            </w:pPr>
            <w:r w:rsidRPr="00316646">
              <w:rPr>
                <w:rFonts w:cstheme="minorHAnsi"/>
              </w:rPr>
              <w:t>Prisma Health</w:t>
            </w:r>
            <w:r w:rsidR="00EC20DE">
              <w:rPr>
                <w:rFonts w:cstheme="minorHAnsi"/>
              </w:rPr>
              <w:t xml:space="preserve"> Upstate</w:t>
            </w:r>
            <w:r w:rsidR="00421793">
              <w:rPr>
                <w:rFonts w:cstheme="minorHAnsi"/>
              </w:rPr>
              <w:t xml:space="preserve"> </w:t>
            </w:r>
            <w:r w:rsidRPr="00316646">
              <w:rPr>
                <w:rFonts w:cstheme="minorHAnsi"/>
              </w:rPr>
              <w:t>- Greenville Memorial Hospital</w:t>
            </w:r>
          </w:p>
        </w:tc>
      </w:tr>
      <w:tr w:rsidR="00282FE0" w14:paraId="5CD2E36F" w14:textId="77777777" w:rsidTr="00316646">
        <w:tc>
          <w:tcPr>
            <w:tcW w:w="2695" w:type="dxa"/>
          </w:tcPr>
          <w:p w14:paraId="5E92EF42" w14:textId="77777777" w:rsidR="00282FE0" w:rsidRDefault="00282FE0">
            <w:r>
              <w:t>Typical Schedule:</w:t>
            </w:r>
          </w:p>
        </w:tc>
        <w:tc>
          <w:tcPr>
            <w:tcW w:w="8190" w:type="dxa"/>
          </w:tcPr>
          <w:p w14:paraId="3DB0ED38" w14:textId="3A21D5E5" w:rsidR="00282FE0" w:rsidRPr="00316646" w:rsidRDefault="2E6D4608" w:rsidP="00316646">
            <w:pPr>
              <w:pStyle w:val="Heading3"/>
              <w:spacing w:before="0"/>
              <w:rPr>
                <w:rFonts w:asciiTheme="minorHAnsi" w:hAnsiTheme="minorHAnsi" w:cstheme="minorHAnsi"/>
                <w:b/>
                <w:bCs/>
                <w:color w:val="auto"/>
                <w:sz w:val="22"/>
                <w:szCs w:val="22"/>
              </w:rPr>
            </w:pPr>
            <w:r w:rsidRPr="00316646">
              <w:rPr>
                <w:rFonts w:asciiTheme="minorHAnsi" w:eastAsia="Calibri" w:hAnsiTheme="minorHAnsi" w:cstheme="minorHAnsi"/>
                <w:b/>
                <w:bCs/>
                <w:color w:val="auto"/>
                <w:sz w:val="22"/>
                <w:szCs w:val="22"/>
              </w:rPr>
              <w:t>Daily Schedule</w:t>
            </w:r>
          </w:p>
          <w:p w14:paraId="66CBAE02" w14:textId="77777777" w:rsidR="00316646" w:rsidRPr="00316646" w:rsidRDefault="2E6D4608" w:rsidP="00316646">
            <w:pPr>
              <w:pStyle w:val="Heading3"/>
              <w:numPr>
                <w:ilvl w:val="0"/>
                <w:numId w:val="8"/>
              </w:numPr>
              <w:spacing w:before="0"/>
              <w:rPr>
                <w:rFonts w:asciiTheme="minorHAnsi" w:hAnsiTheme="minorHAnsi" w:cstheme="minorHAnsi"/>
                <w:color w:val="auto"/>
                <w:sz w:val="22"/>
                <w:szCs w:val="22"/>
              </w:rPr>
            </w:pPr>
            <w:r w:rsidRPr="00316646">
              <w:rPr>
                <w:rFonts w:asciiTheme="minorHAnsi" w:eastAsia="Calibri" w:hAnsiTheme="minorHAnsi" w:cstheme="minorHAnsi"/>
                <w:color w:val="auto"/>
                <w:sz w:val="22"/>
                <w:szCs w:val="22"/>
              </w:rPr>
              <w:t>Workdays will usually begin around 5:00 to 6:00 am to allow enough time for pre-rounds.</w:t>
            </w:r>
          </w:p>
          <w:p w14:paraId="2BCF78C9" w14:textId="77777777" w:rsidR="00316646" w:rsidRPr="00316646" w:rsidRDefault="2E6D4608" w:rsidP="00316646">
            <w:pPr>
              <w:pStyle w:val="Heading3"/>
              <w:numPr>
                <w:ilvl w:val="0"/>
                <w:numId w:val="8"/>
              </w:numPr>
              <w:spacing w:before="0"/>
              <w:rPr>
                <w:rFonts w:asciiTheme="minorHAnsi" w:hAnsiTheme="minorHAnsi" w:cstheme="minorHAnsi"/>
                <w:color w:val="auto"/>
                <w:sz w:val="22"/>
                <w:szCs w:val="22"/>
              </w:rPr>
            </w:pPr>
            <w:r w:rsidRPr="00316646">
              <w:rPr>
                <w:rFonts w:asciiTheme="minorHAnsi" w:eastAsia="Calibri" w:hAnsiTheme="minorHAnsi" w:cstheme="minorHAnsi"/>
                <w:color w:val="auto"/>
                <w:sz w:val="22"/>
                <w:szCs w:val="22"/>
              </w:rPr>
              <w:t xml:space="preserve">Workdays will usually conclude by 5:00 pm, unless on the Day Call admitting team (in which case, work will conclude after the 7:00 pm handoff of the admitting pager to the Overnight Call team).  </w:t>
            </w:r>
          </w:p>
          <w:p w14:paraId="6892E268" w14:textId="03BAAEC5" w:rsidR="00282FE0" w:rsidRPr="00316646" w:rsidRDefault="2E6D4608" w:rsidP="00316646">
            <w:pPr>
              <w:pStyle w:val="Heading3"/>
              <w:numPr>
                <w:ilvl w:val="0"/>
                <w:numId w:val="8"/>
              </w:numPr>
              <w:spacing w:before="0"/>
              <w:rPr>
                <w:rFonts w:asciiTheme="minorHAnsi" w:hAnsiTheme="minorHAnsi" w:cstheme="minorHAnsi"/>
                <w:color w:val="auto"/>
                <w:sz w:val="22"/>
                <w:szCs w:val="22"/>
              </w:rPr>
            </w:pPr>
            <w:r w:rsidRPr="00316646">
              <w:rPr>
                <w:rFonts w:asciiTheme="minorHAnsi" w:eastAsia="Calibri" w:hAnsiTheme="minorHAnsi" w:cstheme="minorHAnsi"/>
                <w:color w:val="auto"/>
                <w:sz w:val="22"/>
                <w:szCs w:val="22"/>
              </w:rPr>
              <w:t xml:space="preserve">Attending physicians and supervising residents may modify work hours </w:t>
            </w:r>
            <w:proofErr w:type="gramStart"/>
            <w:r w:rsidRPr="00316646">
              <w:rPr>
                <w:rFonts w:asciiTheme="minorHAnsi" w:eastAsia="Calibri" w:hAnsiTheme="minorHAnsi" w:cstheme="minorHAnsi"/>
                <w:color w:val="auto"/>
                <w:sz w:val="22"/>
                <w:szCs w:val="22"/>
              </w:rPr>
              <w:t>in order to</w:t>
            </w:r>
            <w:proofErr w:type="gramEnd"/>
            <w:r w:rsidRPr="00316646">
              <w:rPr>
                <w:rFonts w:asciiTheme="minorHAnsi" w:eastAsia="Calibri" w:hAnsiTheme="minorHAnsi" w:cstheme="minorHAnsi"/>
                <w:color w:val="auto"/>
                <w:sz w:val="22"/>
                <w:szCs w:val="22"/>
              </w:rPr>
              <w:t xml:space="preserve"> ensure patients receive optimal care and students meet duty hour limits (see below).</w:t>
            </w:r>
          </w:p>
          <w:p w14:paraId="7A77785B" w14:textId="799902BB" w:rsidR="00282FE0" w:rsidRPr="00316646" w:rsidRDefault="2E6D4608" w:rsidP="00316646">
            <w:pPr>
              <w:jc w:val="both"/>
              <w:rPr>
                <w:rFonts w:cstheme="minorHAnsi"/>
              </w:rPr>
            </w:pPr>
            <w:r w:rsidRPr="00316646">
              <w:rPr>
                <w:rFonts w:eastAsia="Calibri" w:cstheme="minorHAnsi"/>
              </w:rPr>
              <w:t xml:space="preserve"> </w:t>
            </w:r>
          </w:p>
          <w:p w14:paraId="661C7273" w14:textId="495AC523" w:rsidR="00282FE0" w:rsidRPr="00316646" w:rsidRDefault="2E6D4608" w:rsidP="00316646">
            <w:pPr>
              <w:jc w:val="both"/>
              <w:rPr>
                <w:rFonts w:cstheme="minorHAnsi"/>
              </w:rPr>
            </w:pPr>
            <w:r w:rsidRPr="00316646">
              <w:rPr>
                <w:rFonts w:eastAsia="Calibri" w:cstheme="minorHAnsi"/>
                <w:b/>
                <w:bCs/>
              </w:rPr>
              <w:t>Overnight Call</w:t>
            </w:r>
          </w:p>
          <w:p w14:paraId="0B0911C2" w14:textId="2A8E30B2" w:rsidR="00282FE0" w:rsidRPr="00316646" w:rsidRDefault="2E6D4608" w:rsidP="00316646">
            <w:pPr>
              <w:pStyle w:val="ListParagraph"/>
              <w:numPr>
                <w:ilvl w:val="0"/>
                <w:numId w:val="3"/>
              </w:numPr>
              <w:rPr>
                <w:rFonts w:eastAsiaTheme="minorEastAsia" w:cstheme="minorHAnsi"/>
              </w:rPr>
            </w:pPr>
            <w:r w:rsidRPr="00316646">
              <w:rPr>
                <w:rFonts w:eastAsia="Calibri" w:cstheme="minorHAnsi"/>
              </w:rPr>
              <w:t>Students will take in-house overnight call every 6</w:t>
            </w:r>
            <w:r w:rsidRPr="00316646">
              <w:rPr>
                <w:rFonts w:eastAsia="Calibri" w:cstheme="minorHAnsi"/>
                <w:vertAlign w:val="superscript"/>
              </w:rPr>
              <w:t>th</w:t>
            </w:r>
            <w:r w:rsidRPr="00316646">
              <w:rPr>
                <w:rFonts w:eastAsia="Calibri" w:cstheme="minorHAnsi"/>
              </w:rPr>
              <w:t xml:space="preserve"> night on the medical teaching service.  During overnight call, the admitting team is carrying the pager from 7:00 am to 7:00 pm, admitting patients from the Emergency Department and outside facilities.</w:t>
            </w:r>
          </w:p>
          <w:p w14:paraId="4D2B8B44" w14:textId="2B25A2EE" w:rsidR="00316646" w:rsidRPr="00316646" w:rsidRDefault="2E6D4608" w:rsidP="00316646">
            <w:pPr>
              <w:pStyle w:val="ListParagraph"/>
              <w:numPr>
                <w:ilvl w:val="0"/>
                <w:numId w:val="3"/>
              </w:numPr>
              <w:rPr>
                <w:rFonts w:eastAsiaTheme="minorEastAsia" w:cstheme="minorHAnsi"/>
              </w:rPr>
            </w:pPr>
            <w:r w:rsidRPr="00316646">
              <w:rPr>
                <w:rFonts w:eastAsia="Calibri" w:cstheme="minorHAnsi"/>
              </w:rPr>
              <w:t>When scheduled for overnight call, student</w:t>
            </w:r>
            <w:r w:rsidR="00A14A9A">
              <w:rPr>
                <w:rFonts w:eastAsia="Calibri" w:cstheme="minorHAnsi"/>
              </w:rPr>
              <w:t>s DO</w:t>
            </w:r>
            <w:r w:rsidRPr="00316646">
              <w:rPr>
                <w:rFonts w:eastAsia="Calibri" w:cstheme="minorHAnsi"/>
              </w:rPr>
              <w:t xml:space="preserve"> work the day shift</w:t>
            </w:r>
            <w:r w:rsidR="00A14A9A">
              <w:rPr>
                <w:rFonts w:eastAsia="Calibri" w:cstheme="minorHAnsi"/>
              </w:rPr>
              <w:t xml:space="preserve"> making it a </w:t>
            </w:r>
            <w:r w:rsidR="00421793">
              <w:rPr>
                <w:rFonts w:eastAsia="Calibri" w:cstheme="minorHAnsi"/>
              </w:rPr>
              <w:t>28-hour</w:t>
            </w:r>
            <w:r w:rsidR="00A14A9A">
              <w:rPr>
                <w:rFonts w:eastAsia="Calibri" w:cstheme="minorHAnsi"/>
              </w:rPr>
              <w:t xml:space="preserve"> shift (students should not arrive before 6AM). </w:t>
            </w:r>
          </w:p>
          <w:p w14:paraId="7A98B427" w14:textId="330F093C" w:rsidR="00282FE0" w:rsidRPr="00316646" w:rsidRDefault="2E6D4608" w:rsidP="00316646">
            <w:pPr>
              <w:pStyle w:val="ListParagraph"/>
              <w:numPr>
                <w:ilvl w:val="0"/>
                <w:numId w:val="3"/>
              </w:numPr>
              <w:rPr>
                <w:rFonts w:eastAsiaTheme="minorEastAsia" w:cstheme="minorHAnsi"/>
              </w:rPr>
            </w:pPr>
            <w:r w:rsidRPr="00316646">
              <w:rPr>
                <w:rFonts w:eastAsia="Calibri" w:cstheme="minorHAnsi"/>
              </w:rPr>
              <w:t xml:space="preserve">On post-call days, students and residents are expected to complete their patient care duties and leave the hospital </w:t>
            </w:r>
            <w:r w:rsidR="00A14A9A">
              <w:rPr>
                <w:rFonts w:eastAsia="Calibri" w:cstheme="minorHAnsi"/>
              </w:rPr>
              <w:t>by 10AM</w:t>
            </w:r>
            <w:r w:rsidRPr="00316646">
              <w:rPr>
                <w:rFonts w:eastAsia="Calibri" w:cstheme="minorHAnsi"/>
              </w:rPr>
              <w:t xml:space="preserve"> </w:t>
            </w:r>
            <w:proofErr w:type="gramStart"/>
            <w:r w:rsidRPr="00316646">
              <w:rPr>
                <w:rFonts w:eastAsia="Calibri" w:cstheme="minorHAnsi"/>
              </w:rPr>
              <w:t>in order to</w:t>
            </w:r>
            <w:proofErr w:type="gramEnd"/>
            <w:r w:rsidRPr="00316646">
              <w:rPr>
                <w:rFonts w:eastAsia="Calibri" w:cstheme="minorHAnsi"/>
              </w:rPr>
              <w:t xml:space="preserve"> </w:t>
            </w:r>
            <w:r w:rsidR="00A14A9A">
              <w:rPr>
                <w:rFonts w:eastAsia="Calibri" w:cstheme="minorHAnsi"/>
              </w:rPr>
              <w:t>comply with duty-hour restrictions</w:t>
            </w:r>
            <w:r w:rsidRPr="00316646">
              <w:rPr>
                <w:rFonts w:eastAsia="Calibri" w:cstheme="minorHAnsi"/>
              </w:rPr>
              <w:t>.</w:t>
            </w:r>
            <w:r w:rsidR="00A14A9A">
              <w:rPr>
                <w:rFonts w:eastAsia="Calibri" w:cstheme="minorHAnsi"/>
              </w:rPr>
              <w:t xml:space="preserve"> Students are excused from conference attendance on post-call days. </w:t>
            </w:r>
          </w:p>
          <w:p w14:paraId="146C40E6" w14:textId="0A732F06" w:rsidR="00282FE0" w:rsidRPr="00316646" w:rsidRDefault="2E6D4608" w:rsidP="00316646">
            <w:pPr>
              <w:pStyle w:val="ListParagraph"/>
              <w:numPr>
                <w:ilvl w:val="0"/>
                <w:numId w:val="3"/>
              </w:numPr>
              <w:rPr>
                <w:rFonts w:eastAsiaTheme="minorEastAsia" w:cstheme="minorHAnsi"/>
              </w:rPr>
            </w:pPr>
            <w:r w:rsidRPr="00316646">
              <w:rPr>
                <w:rFonts w:eastAsia="Calibri" w:cstheme="minorHAnsi"/>
              </w:rPr>
              <w:t>The last Thursday of the rotation is the last possible night for overnight call shifts.  If a student’s team is scheduled for Night Call on the final Friday of the rotation, it is appropriate instead to work with the day team the final day (with consent/approval of the upper-level resident).  All students are released from clinical responsibilities at 5 pm on the last Friday of the rotation.</w:t>
            </w:r>
          </w:p>
          <w:p w14:paraId="70896F37" w14:textId="49898037" w:rsidR="00282FE0" w:rsidRPr="00316646" w:rsidRDefault="2E6D4608" w:rsidP="00316646">
            <w:pPr>
              <w:jc w:val="both"/>
              <w:rPr>
                <w:rFonts w:cstheme="minorHAnsi"/>
              </w:rPr>
            </w:pPr>
            <w:r w:rsidRPr="00316646">
              <w:rPr>
                <w:rFonts w:eastAsia="Calibri" w:cstheme="minorHAnsi"/>
              </w:rPr>
              <w:t xml:space="preserve"> </w:t>
            </w:r>
          </w:p>
          <w:p w14:paraId="79DDE947" w14:textId="06AC820F" w:rsidR="00282FE0" w:rsidRPr="00316646" w:rsidRDefault="2E6D4608" w:rsidP="00316646">
            <w:pPr>
              <w:jc w:val="both"/>
              <w:rPr>
                <w:rFonts w:cstheme="minorHAnsi"/>
              </w:rPr>
            </w:pPr>
            <w:r w:rsidRPr="00316646">
              <w:rPr>
                <w:rFonts w:eastAsia="Calibri" w:cstheme="minorHAnsi"/>
                <w:b/>
                <w:bCs/>
              </w:rPr>
              <w:t>Days Off</w:t>
            </w:r>
          </w:p>
          <w:p w14:paraId="7E4305EE" w14:textId="180E1D99" w:rsidR="00282FE0" w:rsidRPr="00316646" w:rsidRDefault="2E6D4608" w:rsidP="00316646">
            <w:pPr>
              <w:pStyle w:val="ListParagraph"/>
              <w:numPr>
                <w:ilvl w:val="0"/>
                <w:numId w:val="3"/>
              </w:numPr>
              <w:rPr>
                <w:rFonts w:eastAsiaTheme="minorEastAsia" w:cstheme="minorHAnsi"/>
              </w:rPr>
            </w:pPr>
            <w:r w:rsidRPr="00316646">
              <w:rPr>
                <w:rFonts w:eastAsia="Calibri" w:cstheme="minorHAnsi"/>
              </w:rPr>
              <w:t xml:space="preserve">Per LCME accreditation guidelines, medical students will take 1 day in 7 free from all educational and clinical responsibilities, averaged over the course, inclusive of call. </w:t>
            </w:r>
            <w:r w:rsidRPr="00316646">
              <w:rPr>
                <w:rFonts w:eastAsia="Calibri" w:cstheme="minorHAnsi"/>
                <w:i/>
                <w:iCs/>
              </w:rPr>
              <w:t xml:space="preserve">One day </w:t>
            </w:r>
            <w:r w:rsidRPr="00316646">
              <w:rPr>
                <w:rFonts w:eastAsia="Calibri" w:cstheme="minorHAnsi"/>
              </w:rPr>
              <w:t xml:space="preserve">is defined as 1 continuous 24-hour period free from all clinical and educational duties.  </w:t>
            </w:r>
          </w:p>
          <w:p w14:paraId="63F8C811" w14:textId="5DE8615F" w:rsidR="00282FE0" w:rsidRPr="00316646" w:rsidRDefault="2E6D4608" w:rsidP="00316646">
            <w:pPr>
              <w:pStyle w:val="ListParagraph"/>
              <w:numPr>
                <w:ilvl w:val="0"/>
                <w:numId w:val="2"/>
              </w:numPr>
              <w:rPr>
                <w:rFonts w:eastAsiaTheme="minorEastAsia" w:cstheme="minorHAnsi"/>
              </w:rPr>
            </w:pPr>
            <w:r w:rsidRPr="00316646">
              <w:rPr>
                <w:rFonts w:eastAsia="Calibri" w:cstheme="minorHAnsi"/>
              </w:rPr>
              <w:t xml:space="preserve">Students are scheduled to work all holidays with their teams, </w:t>
            </w:r>
            <w:proofErr w:type="gramStart"/>
            <w:r w:rsidRPr="00316646">
              <w:rPr>
                <w:rFonts w:eastAsia="Calibri" w:cstheme="minorHAnsi"/>
              </w:rPr>
              <w:t>with the exception of</w:t>
            </w:r>
            <w:proofErr w:type="gramEnd"/>
            <w:r w:rsidRPr="00316646">
              <w:rPr>
                <w:rFonts w:eastAsia="Calibri" w:cstheme="minorHAnsi"/>
              </w:rPr>
              <w:t xml:space="preserve"> Thanksgiving Day and the day after Thanksgiving. Residents and attendings </w:t>
            </w:r>
            <w:r w:rsidRPr="00316646">
              <w:rPr>
                <w:rFonts w:eastAsia="Calibri" w:cstheme="minorHAnsi"/>
              </w:rPr>
              <w:lastRenderedPageBreak/>
              <w:t xml:space="preserve">may grant additional holiday time off as they feel </w:t>
            </w:r>
            <w:proofErr w:type="gramStart"/>
            <w:r w:rsidRPr="00316646">
              <w:rPr>
                <w:rFonts w:eastAsia="Calibri" w:cstheme="minorHAnsi"/>
              </w:rPr>
              <w:t>appropriate</w:t>
            </w:r>
            <w:r w:rsidR="00A14A9A">
              <w:rPr>
                <w:rFonts w:eastAsia="Calibri" w:cstheme="minorHAnsi"/>
              </w:rPr>
              <w:t>, IF</w:t>
            </w:r>
            <w:proofErr w:type="gramEnd"/>
            <w:r w:rsidR="00A14A9A">
              <w:rPr>
                <w:rFonts w:eastAsia="Calibri" w:cstheme="minorHAnsi"/>
              </w:rPr>
              <w:t xml:space="preserve"> the course director has already approved. </w:t>
            </w:r>
          </w:p>
          <w:p w14:paraId="0D0B940D" w14:textId="539C1050" w:rsidR="00282FE0" w:rsidRPr="00316646" w:rsidRDefault="00282FE0" w:rsidP="00316646">
            <w:pPr>
              <w:rPr>
                <w:rFonts w:cstheme="minorHAnsi"/>
              </w:rPr>
            </w:pPr>
          </w:p>
        </w:tc>
      </w:tr>
      <w:tr w:rsidR="00282FE0" w14:paraId="7181EB23" w14:textId="77777777" w:rsidTr="00316646">
        <w:tc>
          <w:tcPr>
            <w:tcW w:w="2695" w:type="dxa"/>
          </w:tcPr>
          <w:p w14:paraId="3D96743F" w14:textId="77777777" w:rsidR="00282FE0" w:rsidRDefault="00282FE0">
            <w:r>
              <w:lastRenderedPageBreak/>
              <w:t>Course Objectives:</w:t>
            </w:r>
          </w:p>
        </w:tc>
        <w:tc>
          <w:tcPr>
            <w:tcW w:w="8190" w:type="dxa"/>
          </w:tcPr>
          <w:p w14:paraId="0903F576" w14:textId="66945D61" w:rsidR="00282FE0" w:rsidRPr="00316646" w:rsidRDefault="2E6D4608" w:rsidP="00316646">
            <w:pPr>
              <w:pStyle w:val="Heading1"/>
              <w:spacing w:before="0"/>
              <w:rPr>
                <w:rFonts w:asciiTheme="minorHAnsi" w:hAnsiTheme="minorHAnsi" w:cstheme="minorHAnsi"/>
                <w:color w:val="auto"/>
                <w:sz w:val="22"/>
                <w:szCs w:val="22"/>
              </w:rPr>
            </w:pPr>
            <w:r w:rsidRPr="00316646">
              <w:rPr>
                <w:rFonts w:asciiTheme="minorHAnsi" w:eastAsia="Calibri" w:hAnsiTheme="minorHAnsi" w:cstheme="minorHAnsi"/>
                <w:color w:val="auto"/>
                <w:sz w:val="22"/>
                <w:szCs w:val="22"/>
              </w:rPr>
              <w:t xml:space="preserve">Clinical Objectives—Skills to be </w:t>
            </w:r>
            <w:proofErr w:type="gramStart"/>
            <w:r w:rsidRPr="00316646">
              <w:rPr>
                <w:rFonts w:asciiTheme="minorHAnsi" w:eastAsia="Calibri" w:hAnsiTheme="minorHAnsi" w:cstheme="minorHAnsi"/>
                <w:color w:val="auto"/>
                <w:sz w:val="22"/>
                <w:szCs w:val="22"/>
              </w:rPr>
              <w:t>Mastered</w:t>
            </w:r>
            <w:proofErr w:type="gramEnd"/>
          </w:p>
          <w:p w14:paraId="1ED25E97" w14:textId="249F65DA" w:rsidR="00282FE0" w:rsidRPr="00316646" w:rsidRDefault="2E6D4608" w:rsidP="00316646">
            <w:pPr>
              <w:pStyle w:val="ListParagraph"/>
              <w:numPr>
                <w:ilvl w:val="0"/>
                <w:numId w:val="1"/>
              </w:numPr>
              <w:rPr>
                <w:rFonts w:eastAsiaTheme="minorEastAsia" w:cstheme="minorHAnsi"/>
              </w:rPr>
            </w:pPr>
            <w:r w:rsidRPr="00316646">
              <w:rPr>
                <w:rFonts w:eastAsia="Calibri" w:cstheme="minorHAnsi"/>
              </w:rPr>
              <w:t xml:space="preserve">Assume leadership of the medical care of patients, under the supervision of the </w:t>
            </w:r>
            <w:r w:rsidR="00421793" w:rsidRPr="00316646">
              <w:rPr>
                <w:rFonts w:eastAsia="Calibri" w:cstheme="minorHAnsi"/>
              </w:rPr>
              <w:t>upper-level</w:t>
            </w:r>
            <w:r w:rsidRPr="00316646">
              <w:rPr>
                <w:rFonts w:eastAsia="Calibri" w:cstheme="minorHAnsi"/>
              </w:rPr>
              <w:t xml:space="preserve"> resident and attending physician</w:t>
            </w:r>
          </w:p>
          <w:p w14:paraId="34E38F38" w14:textId="00DCC4B2" w:rsidR="00282FE0" w:rsidRPr="00316646" w:rsidRDefault="2E6D4608" w:rsidP="00316646">
            <w:pPr>
              <w:pStyle w:val="ListParagraph"/>
              <w:numPr>
                <w:ilvl w:val="0"/>
                <w:numId w:val="1"/>
              </w:numPr>
              <w:rPr>
                <w:rFonts w:eastAsiaTheme="minorEastAsia" w:cstheme="minorHAnsi"/>
              </w:rPr>
            </w:pPr>
            <w:r w:rsidRPr="00316646">
              <w:rPr>
                <w:rFonts w:eastAsia="Calibri" w:cstheme="minorHAnsi"/>
              </w:rPr>
              <w:t xml:space="preserve">Refine the basic techniques learned as a </w:t>
            </w:r>
            <w:r w:rsidR="00421793" w:rsidRPr="00316646">
              <w:rPr>
                <w:rFonts w:eastAsia="Calibri" w:cstheme="minorHAnsi"/>
              </w:rPr>
              <w:t>third-year</w:t>
            </w:r>
            <w:r w:rsidRPr="00316646">
              <w:rPr>
                <w:rFonts w:eastAsia="Calibri" w:cstheme="minorHAnsi"/>
              </w:rPr>
              <w:t xml:space="preserve"> medical student for the medical interview, physical examination, and case presentation, with emphasis on improving accuracy and </w:t>
            </w:r>
            <w:proofErr w:type="gramStart"/>
            <w:r w:rsidRPr="00316646">
              <w:rPr>
                <w:rFonts w:eastAsia="Calibri" w:cstheme="minorHAnsi"/>
              </w:rPr>
              <w:t>efficiency</w:t>
            </w:r>
            <w:proofErr w:type="gramEnd"/>
            <w:r w:rsidRPr="00316646">
              <w:rPr>
                <w:rFonts w:eastAsia="Calibri" w:cstheme="minorHAnsi"/>
              </w:rPr>
              <w:t xml:space="preserve"> </w:t>
            </w:r>
          </w:p>
          <w:p w14:paraId="08DD17E3" w14:textId="7CA6F7DB" w:rsidR="00282FE0" w:rsidRPr="00316646" w:rsidRDefault="2E6D4608" w:rsidP="00316646">
            <w:pPr>
              <w:pStyle w:val="ListParagraph"/>
              <w:numPr>
                <w:ilvl w:val="0"/>
                <w:numId w:val="1"/>
              </w:numPr>
              <w:rPr>
                <w:rFonts w:eastAsiaTheme="minorEastAsia" w:cstheme="minorHAnsi"/>
              </w:rPr>
            </w:pPr>
            <w:r w:rsidRPr="00316646">
              <w:rPr>
                <w:rFonts w:eastAsia="Calibri" w:cstheme="minorHAnsi"/>
              </w:rPr>
              <w:t xml:space="preserve">Refine diagnostic decision-making skills, to include prioritizing problems, constructing a differential diagnosis, selecting diagnostic tests, </w:t>
            </w:r>
            <w:r w:rsidR="00421793" w:rsidRPr="00316646">
              <w:rPr>
                <w:rFonts w:eastAsia="Calibri" w:cstheme="minorHAnsi"/>
              </w:rPr>
              <w:t>proposing</w:t>
            </w:r>
            <w:r w:rsidR="00421793">
              <w:rPr>
                <w:rFonts w:eastAsia="Calibri" w:cstheme="minorHAnsi"/>
              </w:rPr>
              <w:t xml:space="preserve"> </w:t>
            </w:r>
            <w:r w:rsidRPr="00316646">
              <w:rPr>
                <w:rFonts w:eastAsia="Calibri" w:cstheme="minorHAnsi"/>
              </w:rPr>
              <w:t xml:space="preserve">and initiating treatment plans, and adjusting plans based on patient </w:t>
            </w:r>
            <w:proofErr w:type="gramStart"/>
            <w:r w:rsidRPr="00316646">
              <w:rPr>
                <w:rFonts w:eastAsia="Calibri" w:cstheme="minorHAnsi"/>
              </w:rPr>
              <w:t>response</w:t>
            </w:r>
            <w:proofErr w:type="gramEnd"/>
          </w:p>
          <w:p w14:paraId="4224047A" w14:textId="292368D8" w:rsidR="00282FE0" w:rsidRPr="00316646" w:rsidRDefault="2E6D4608" w:rsidP="00316646">
            <w:pPr>
              <w:pStyle w:val="ListParagraph"/>
              <w:numPr>
                <w:ilvl w:val="0"/>
                <w:numId w:val="1"/>
              </w:numPr>
              <w:rPr>
                <w:rFonts w:eastAsiaTheme="minorEastAsia" w:cstheme="minorHAnsi"/>
              </w:rPr>
            </w:pPr>
            <w:r w:rsidRPr="00316646">
              <w:rPr>
                <w:rFonts w:eastAsia="Calibri" w:cstheme="minorHAnsi"/>
              </w:rPr>
              <w:t xml:space="preserve">Design practical treatment plans that consider the patient’s financial resources, home environment, personal and cultural beliefs, cognitive or physical limitations, and preferences </w:t>
            </w:r>
          </w:p>
          <w:p w14:paraId="41C03953" w14:textId="0052FB8F" w:rsidR="00282FE0" w:rsidRPr="00316646" w:rsidRDefault="2E6D4608" w:rsidP="00316646">
            <w:pPr>
              <w:pStyle w:val="ListParagraph"/>
              <w:numPr>
                <w:ilvl w:val="0"/>
                <w:numId w:val="1"/>
              </w:numPr>
              <w:rPr>
                <w:rFonts w:eastAsiaTheme="minorEastAsia" w:cstheme="minorHAnsi"/>
              </w:rPr>
            </w:pPr>
            <w:r w:rsidRPr="00316646">
              <w:rPr>
                <w:rFonts w:eastAsia="Calibri" w:cstheme="minorHAnsi"/>
              </w:rPr>
              <w:t xml:space="preserve">Assist patients and their families in complicated ethical and social issues, such as estimating prognosis, determining advance directives, and making end-of-life </w:t>
            </w:r>
            <w:proofErr w:type="gramStart"/>
            <w:r w:rsidRPr="00316646">
              <w:rPr>
                <w:rFonts w:eastAsia="Calibri" w:cstheme="minorHAnsi"/>
              </w:rPr>
              <w:t>decisions</w:t>
            </w:r>
            <w:proofErr w:type="gramEnd"/>
          </w:p>
          <w:p w14:paraId="457CFAE4" w14:textId="1C4D9656" w:rsidR="00282FE0" w:rsidRPr="00316646" w:rsidRDefault="2E6D4608" w:rsidP="00316646">
            <w:pPr>
              <w:pStyle w:val="ListParagraph"/>
              <w:numPr>
                <w:ilvl w:val="0"/>
                <w:numId w:val="1"/>
              </w:numPr>
              <w:rPr>
                <w:rFonts w:eastAsiaTheme="minorEastAsia" w:cstheme="minorHAnsi"/>
              </w:rPr>
            </w:pPr>
            <w:r w:rsidRPr="00316646">
              <w:rPr>
                <w:rFonts w:eastAsia="Calibri" w:cstheme="minorHAnsi"/>
              </w:rPr>
              <w:t xml:space="preserve">Develop the interpersonal and communication skills necessary to establish an effective therapeutic relationship with patients and their </w:t>
            </w:r>
            <w:proofErr w:type="gramStart"/>
            <w:r w:rsidRPr="00316646">
              <w:rPr>
                <w:rFonts w:eastAsia="Calibri" w:cstheme="minorHAnsi"/>
              </w:rPr>
              <w:t>families</w:t>
            </w:r>
            <w:proofErr w:type="gramEnd"/>
          </w:p>
          <w:p w14:paraId="7532FE59" w14:textId="27E0E86B" w:rsidR="00282FE0" w:rsidRPr="00316646" w:rsidRDefault="2E6D4608" w:rsidP="00316646">
            <w:pPr>
              <w:pStyle w:val="ListParagraph"/>
              <w:numPr>
                <w:ilvl w:val="0"/>
                <w:numId w:val="1"/>
              </w:numPr>
              <w:rPr>
                <w:rFonts w:eastAsiaTheme="minorEastAsia" w:cstheme="minorHAnsi"/>
              </w:rPr>
            </w:pPr>
            <w:r w:rsidRPr="00316646">
              <w:rPr>
                <w:rFonts w:eastAsia="Calibri" w:cstheme="minorHAnsi"/>
              </w:rPr>
              <w:t xml:space="preserve">Triage patients according to medical acuity and to determine which patients require hospitalization and which patients may be treated in the outpatient </w:t>
            </w:r>
            <w:proofErr w:type="gramStart"/>
            <w:r w:rsidRPr="00316646">
              <w:rPr>
                <w:rFonts w:eastAsia="Calibri" w:cstheme="minorHAnsi"/>
              </w:rPr>
              <w:t>environment</w:t>
            </w:r>
            <w:proofErr w:type="gramEnd"/>
            <w:r w:rsidRPr="00316646">
              <w:rPr>
                <w:rFonts w:eastAsia="Calibri" w:cstheme="minorHAnsi"/>
              </w:rPr>
              <w:t xml:space="preserve"> </w:t>
            </w:r>
          </w:p>
          <w:p w14:paraId="5A05424D" w14:textId="2D5AB59A" w:rsidR="00282FE0" w:rsidRPr="00316646" w:rsidRDefault="2E6D4608" w:rsidP="00316646">
            <w:pPr>
              <w:pStyle w:val="ListParagraph"/>
              <w:numPr>
                <w:ilvl w:val="0"/>
                <w:numId w:val="1"/>
              </w:numPr>
              <w:rPr>
                <w:rFonts w:eastAsiaTheme="minorEastAsia" w:cstheme="minorHAnsi"/>
              </w:rPr>
            </w:pPr>
            <w:r w:rsidRPr="00316646">
              <w:rPr>
                <w:rFonts w:eastAsia="Calibri" w:cstheme="minorHAnsi"/>
              </w:rPr>
              <w:t xml:space="preserve">Determine the appropriate follow-up for problems managed in the outpatient </w:t>
            </w:r>
            <w:proofErr w:type="gramStart"/>
            <w:r w:rsidRPr="00316646">
              <w:rPr>
                <w:rFonts w:eastAsia="Calibri" w:cstheme="minorHAnsi"/>
              </w:rPr>
              <w:t>environment</w:t>
            </w:r>
            <w:proofErr w:type="gramEnd"/>
          </w:p>
          <w:p w14:paraId="7082D58B" w14:textId="0C0EDE06" w:rsidR="00282FE0" w:rsidRPr="00316646" w:rsidRDefault="2E6D4608" w:rsidP="00316646">
            <w:pPr>
              <w:pStyle w:val="ListParagraph"/>
              <w:numPr>
                <w:ilvl w:val="0"/>
                <w:numId w:val="1"/>
              </w:numPr>
              <w:rPr>
                <w:rFonts w:eastAsiaTheme="minorEastAsia" w:cstheme="minorHAnsi"/>
              </w:rPr>
            </w:pPr>
            <w:r w:rsidRPr="00316646">
              <w:rPr>
                <w:rFonts w:eastAsia="Calibri" w:cstheme="minorHAnsi"/>
              </w:rPr>
              <w:t xml:space="preserve">Recognize those disorders requiring joint management with or referral to a medical </w:t>
            </w:r>
            <w:proofErr w:type="gramStart"/>
            <w:r w:rsidRPr="00316646">
              <w:rPr>
                <w:rFonts w:eastAsia="Calibri" w:cstheme="minorHAnsi"/>
              </w:rPr>
              <w:t>subspecialist</w:t>
            </w:r>
            <w:proofErr w:type="gramEnd"/>
          </w:p>
          <w:p w14:paraId="402CFC1A" w14:textId="6E8A2E2F" w:rsidR="00282FE0" w:rsidRPr="00316646" w:rsidRDefault="2E6D4608" w:rsidP="00316646">
            <w:pPr>
              <w:pStyle w:val="ListParagraph"/>
              <w:numPr>
                <w:ilvl w:val="0"/>
                <w:numId w:val="1"/>
              </w:numPr>
              <w:rPr>
                <w:rFonts w:eastAsiaTheme="minorEastAsia" w:cstheme="minorHAnsi"/>
              </w:rPr>
            </w:pPr>
            <w:r w:rsidRPr="00316646">
              <w:rPr>
                <w:rFonts w:eastAsia="Calibri" w:cstheme="minorHAnsi"/>
              </w:rPr>
              <w:t xml:space="preserve">Provide the appropriate preventive healthcare services to maintain patient health and prevent </w:t>
            </w:r>
            <w:proofErr w:type="gramStart"/>
            <w:r w:rsidRPr="00316646">
              <w:rPr>
                <w:rFonts w:eastAsia="Calibri" w:cstheme="minorHAnsi"/>
              </w:rPr>
              <w:t>disease</w:t>
            </w:r>
            <w:proofErr w:type="gramEnd"/>
          </w:p>
          <w:p w14:paraId="219CB118" w14:textId="5D511BD1" w:rsidR="00282FE0" w:rsidRPr="00316646" w:rsidRDefault="2E6D4608" w:rsidP="00316646">
            <w:pPr>
              <w:pStyle w:val="ListParagraph"/>
              <w:numPr>
                <w:ilvl w:val="0"/>
                <w:numId w:val="1"/>
              </w:numPr>
              <w:rPr>
                <w:rFonts w:eastAsiaTheme="minorEastAsia" w:cstheme="minorHAnsi"/>
              </w:rPr>
            </w:pPr>
            <w:r w:rsidRPr="00316646">
              <w:rPr>
                <w:rFonts w:eastAsia="Calibri" w:cstheme="minorHAnsi"/>
              </w:rPr>
              <w:t xml:space="preserve">Interact effectively with patients and their families and with other members of the inpatient health care team, including nurses, medical technicians, respiratory technicians, dietitians, social workers, and home health </w:t>
            </w:r>
            <w:proofErr w:type="gramStart"/>
            <w:r w:rsidRPr="00316646">
              <w:rPr>
                <w:rFonts w:eastAsia="Calibri" w:cstheme="minorHAnsi"/>
              </w:rPr>
              <w:t>providers</w:t>
            </w:r>
            <w:proofErr w:type="gramEnd"/>
          </w:p>
          <w:p w14:paraId="0E45B772" w14:textId="180AA0D4" w:rsidR="00282FE0" w:rsidRPr="00316646" w:rsidRDefault="2E6D4608" w:rsidP="00316646">
            <w:pPr>
              <w:pStyle w:val="ListParagraph"/>
              <w:numPr>
                <w:ilvl w:val="0"/>
                <w:numId w:val="1"/>
              </w:numPr>
              <w:rPr>
                <w:rFonts w:eastAsiaTheme="minorEastAsia" w:cstheme="minorHAnsi"/>
              </w:rPr>
            </w:pPr>
            <w:r w:rsidRPr="00316646">
              <w:rPr>
                <w:rFonts w:eastAsia="Calibri" w:cstheme="minorHAnsi"/>
              </w:rPr>
              <w:t xml:space="preserve">Improve medical knowledge through </w:t>
            </w:r>
            <w:r w:rsidRPr="00316646">
              <w:rPr>
                <w:rFonts w:eastAsia="Calibri" w:cstheme="minorHAnsi"/>
                <w:i/>
                <w:iCs/>
              </w:rPr>
              <w:t xml:space="preserve">self-directed </w:t>
            </w:r>
            <w:r w:rsidRPr="00316646">
              <w:rPr>
                <w:rFonts w:eastAsia="Calibri" w:cstheme="minorHAnsi"/>
              </w:rPr>
              <w:t xml:space="preserve">reading of texts, journals, and on-line </w:t>
            </w:r>
            <w:proofErr w:type="gramStart"/>
            <w:r w:rsidRPr="00316646">
              <w:rPr>
                <w:rFonts w:eastAsia="Calibri" w:cstheme="minorHAnsi"/>
              </w:rPr>
              <w:t>references</w:t>
            </w:r>
            <w:proofErr w:type="gramEnd"/>
          </w:p>
          <w:p w14:paraId="4BC4BEC9" w14:textId="3B323B09" w:rsidR="00282FE0" w:rsidRPr="00316646" w:rsidRDefault="2E6D4608" w:rsidP="00316646">
            <w:pPr>
              <w:pStyle w:val="ListParagraph"/>
              <w:numPr>
                <w:ilvl w:val="0"/>
                <w:numId w:val="1"/>
              </w:numPr>
              <w:rPr>
                <w:rFonts w:eastAsiaTheme="minorEastAsia" w:cstheme="minorHAnsi"/>
              </w:rPr>
            </w:pPr>
            <w:r w:rsidRPr="00316646">
              <w:rPr>
                <w:rFonts w:eastAsia="Calibri" w:cstheme="minorHAnsi"/>
              </w:rPr>
              <w:t xml:space="preserve">Research the medical literature for answers to clinical questions arising in patient care and apply the findings to management of </w:t>
            </w:r>
            <w:proofErr w:type="gramStart"/>
            <w:r w:rsidRPr="00316646">
              <w:rPr>
                <w:rFonts w:eastAsia="Calibri" w:cstheme="minorHAnsi"/>
              </w:rPr>
              <w:t>patients</w:t>
            </w:r>
            <w:proofErr w:type="gramEnd"/>
          </w:p>
          <w:p w14:paraId="0A1CC21D" w14:textId="2DB4D1E7" w:rsidR="00282FE0" w:rsidRPr="00316646" w:rsidRDefault="00282FE0" w:rsidP="00316646">
            <w:pPr>
              <w:rPr>
                <w:rFonts w:cstheme="minorHAnsi"/>
              </w:rPr>
            </w:pPr>
          </w:p>
        </w:tc>
      </w:tr>
      <w:tr w:rsidR="00282FE0" w14:paraId="34528D49" w14:textId="77777777" w:rsidTr="00316646">
        <w:tc>
          <w:tcPr>
            <w:tcW w:w="2695" w:type="dxa"/>
          </w:tcPr>
          <w:p w14:paraId="1C73742A" w14:textId="77777777" w:rsidR="00282FE0" w:rsidRDefault="00282FE0">
            <w:r>
              <w:t>Course Description:</w:t>
            </w:r>
          </w:p>
        </w:tc>
        <w:tc>
          <w:tcPr>
            <w:tcW w:w="8190" w:type="dxa"/>
          </w:tcPr>
          <w:p w14:paraId="25504FA4" w14:textId="313185A4" w:rsidR="00282FE0" w:rsidRPr="00EC20DE" w:rsidRDefault="2E6D4608" w:rsidP="00316646">
            <w:pPr>
              <w:jc w:val="both"/>
              <w:rPr>
                <w:rFonts w:cstheme="minorHAnsi"/>
                <w:i/>
              </w:rPr>
            </w:pPr>
            <w:r w:rsidRPr="00316646">
              <w:rPr>
                <w:rFonts w:eastAsia="Calibri" w:cstheme="minorHAnsi"/>
              </w:rPr>
              <w:t>The M4 Medicine Acting Internship Rotation is a four-week inpatient rotation that is an elective option for fourth year medical students from the University Of South Carolina School Of Medicine – Greenville and for visiting medical students from other universities.  Students will be assigned to general medicine inpatient ward teams on the teaching services.  Clinical learning will be supplemented by lectures and self-directed learning.  The educational goals of the rotation are based on the national recommendations of the Clerkship Directors in Internal Medicine.</w:t>
            </w:r>
            <w:r w:rsidR="00EC20DE">
              <w:rPr>
                <w:rFonts w:eastAsia="Calibri" w:cstheme="minorHAnsi"/>
              </w:rPr>
              <w:t xml:space="preserve"> </w:t>
            </w:r>
            <w:r w:rsidR="00EC20DE" w:rsidRPr="00A50F80">
              <w:rPr>
                <w:rFonts w:eastAsia="Calibri" w:cstheme="minorHAnsi"/>
                <w:b/>
                <w:bCs/>
                <w:i/>
              </w:rPr>
              <w:t>Visiting students will receive a Pass/Fail for the completed course.</w:t>
            </w:r>
          </w:p>
          <w:p w14:paraId="239F9505" w14:textId="2E7CDFCB" w:rsidR="00282FE0" w:rsidRPr="00316646" w:rsidRDefault="2E6D4608" w:rsidP="00316646">
            <w:pPr>
              <w:jc w:val="both"/>
              <w:rPr>
                <w:rFonts w:cstheme="minorHAnsi"/>
              </w:rPr>
            </w:pPr>
            <w:r w:rsidRPr="00316646">
              <w:rPr>
                <w:rFonts w:eastAsia="Calibri" w:cstheme="minorHAnsi"/>
              </w:rPr>
              <w:t xml:space="preserve"> </w:t>
            </w:r>
          </w:p>
          <w:p w14:paraId="661D696F" w14:textId="7539E841" w:rsidR="00282FE0" w:rsidRPr="00316646" w:rsidRDefault="2E6D4608" w:rsidP="00316646">
            <w:pPr>
              <w:jc w:val="both"/>
              <w:rPr>
                <w:rFonts w:cstheme="minorHAnsi"/>
              </w:rPr>
            </w:pPr>
            <w:r w:rsidRPr="00316646">
              <w:rPr>
                <w:rFonts w:eastAsia="Calibri" w:cstheme="minorHAnsi"/>
              </w:rPr>
              <w:t>Clinical learning is supplemented by self-directed reading and required conferences.  Conferences include informal discussions, lectures, grand rounds, and bedside rounds.</w:t>
            </w:r>
          </w:p>
          <w:p w14:paraId="2F7847D9" w14:textId="5A3A6C83" w:rsidR="00282FE0" w:rsidRPr="00316646" w:rsidRDefault="2E6D4608" w:rsidP="00316646">
            <w:pPr>
              <w:jc w:val="both"/>
              <w:rPr>
                <w:rFonts w:cstheme="minorHAnsi"/>
              </w:rPr>
            </w:pPr>
            <w:r w:rsidRPr="00316646">
              <w:rPr>
                <w:rFonts w:eastAsia="Calibri" w:cstheme="minorHAnsi"/>
              </w:rPr>
              <w:t xml:space="preserve"> </w:t>
            </w:r>
          </w:p>
          <w:p w14:paraId="72803FCF" w14:textId="6B33D2B1" w:rsidR="00282FE0" w:rsidRPr="00316646" w:rsidRDefault="2E6D4608" w:rsidP="00316646">
            <w:pPr>
              <w:jc w:val="both"/>
              <w:rPr>
                <w:rFonts w:cstheme="minorHAnsi"/>
              </w:rPr>
            </w:pPr>
            <w:r w:rsidRPr="00316646">
              <w:rPr>
                <w:rFonts w:eastAsia="Calibri" w:cstheme="minorHAnsi"/>
              </w:rPr>
              <w:t>Acting interns take in-house overnight call with their team every sixth night and receive one day free of patient care duties per week.</w:t>
            </w:r>
          </w:p>
        </w:tc>
      </w:tr>
    </w:tbl>
    <w:p w14:paraId="0E27B00A" w14:textId="77777777" w:rsidR="00282FE0" w:rsidRDefault="00282FE0"/>
    <w:sectPr w:rsidR="00282FE0" w:rsidSect="003B4C4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F3C2F"/>
    <w:multiLevelType w:val="hybridMultilevel"/>
    <w:tmpl w:val="4B9022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D60651"/>
    <w:multiLevelType w:val="hybridMultilevel"/>
    <w:tmpl w:val="E46CA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315DD3"/>
    <w:multiLevelType w:val="hybridMultilevel"/>
    <w:tmpl w:val="79123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8F3414"/>
    <w:multiLevelType w:val="hybridMultilevel"/>
    <w:tmpl w:val="21C617F8"/>
    <w:lvl w:ilvl="0" w:tplc="E752CFDE">
      <w:start w:val="1"/>
      <w:numFmt w:val="decimal"/>
      <w:lvlText w:val="%1."/>
      <w:lvlJc w:val="left"/>
      <w:pPr>
        <w:ind w:left="720" w:hanging="360"/>
      </w:pPr>
    </w:lvl>
    <w:lvl w:ilvl="1" w:tplc="1114803A">
      <w:start w:val="1"/>
      <w:numFmt w:val="lowerLetter"/>
      <w:lvlText w:val="%2."/>
      <w:lvlJc w:val="left"/>
      <w:pPr>
        <w:ind w:left="1440" w:hanging="360"/>
      </w:pPr>
    </w:lvl>
    <w:lvl w:ilvl="2" w:tplc="98022516">
      <w:start w:val="1"/>
      <w:numFmt w:val="lowerRoman"/>
      <w:lvlText w:val="%3."/>
      <w:lvlJc w:val="right"/>
      <w:pPr>
        <w:ind w:left="2160" w:hanging="180"/>
      </w:pPr>
    </w:lvl>
    <w:lvl w:ilvl="3" w:tplc="2E9C6A70">
      <w:start w:val="1"/>
      <w:numFmt w:val="decimal"/>
      <w:lvlText w:val="%4."/>
      <w:lvlJc w:val="left"/>
      <w:pPr>
        <w:ind w:left="2880" w:hanging="360"/>
      </w:pPr>
    </w:lvl>
    <w:lvl w:ilvl="4" w:tplc="BF2A691C">
      <w:start w:val="1"/>
      <w:numFmt w:val="lowerLetter"/>
      <w:lvlText w:val="%5."/>
      <w:lvlJc w:val="left"/>
      <w:pPr>
        <w:ind w:left="3600" w:hanging="360"/>
      </w:pPr>
    </w:lvl>
    <w:lvl w:ilvl="5" w:tplc="B5ECC4E8">
      <w:start w:val="1"/>
      <w:numFmt w:val="lowerRoman"/>
      <w:lvlText w:val="%6."/>
      <w:lvlJc w:val="right"/>
      <w:pPr>
        <w:ind w:left="4320" w:hanging="180"/>
      </w:pPr>
    </w:lvl>
    <w:lvl w:ilvl="6" w:tplc="B3B8100C">
      <w:start w:val="1"/>
      <w:numFmt w:val="decimal"/>
      <w:lvlText w:val="%7."/>
      <w:lvlJc w:val="left"/>
      <w:pPr>
        <w:ind w:left="5040" w:hanging="360"/>
      </w:pPr>
    </w:lvl>
    <w:lvl w:ilvl="7" w:tplc="EDFA3EEC">
      <w:start w:val="1"/>
      <w:numFmt w:val="lowerLetter"/>
      <w:lvlText w:val="%8."/>
      <w:lvlJc w:val="left"/>
      <w:pPr>
        <w:ind w:left="5760" w:hanging="360"/>
      </w:pPr>
    </w:lvl>
    <w:lvl w:ilvl="8" w:tplc="3B3CDE16">
      <w:start w:val="1"/>
      <w:numFmt w:val="lowerRoman"/>
      <w:lvlText w:val="%9."/>
      <w:lvlJc w:val="right"/>
      <w:pPr>
        <w:ind w:left="6480" w:hanging="180"/>
      </w:pPr>
    </w:lvl>
  </w:abstractNum>
  <w:abstractNum w:abstractNumId="4" w15:restartNumberingAfterBreak="0">
    <w:nsid w:val="35E54EEB"/>
    <w:multiLevelType w:val="hybridMultilevel"/>
    <w:tmpl w:val="BE681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6347DE"/>
    <w:multiLevelType w:val="hybridMultilevel"/>
    <w:tmpl w:val="B128E9A8"/>
    <w:lvl w:ilvl="0" w:tplc="6E60C38A">
      <w:start w:val="1"/>
      <w:numFmt w:val="bullet"/>
      <w:lvlText w:val="§"/>
      <w:lvlJc w:val="left"/>
      <w:pPr>
        <w:ind w:left="720" w:hanging="360"/>
      </w:pPr>
      <w:rPr>
        <w:rFonts w:ascii="Wingdings" w:hAnsi="Wingdings" w:hint="default"/>
      </w:rPr>
    </w:lvl>
    <w:lvl w:ilvl="1" w:tplc="0484BC4C">
      <w:start w:val="1"/>
      <w:numFmt w:val="bullet"/>
      <w:lvlText w:val="o"/>
      <w:lvlJc w:val="left"/>
      <w:pPr>
        <w:ind w:left="1440" w:hanging="360"/>
      </w:pPr>
      <w:rPr>
        <w:rFonts w:ascii="Courier New" w:hAnsi="Courier New" w:hint="default"/>
      </w:rPr>
    </w:lvl>
    <w:lvl w:ilvl="2" w:tplc="44329696">
      <w:start w:val="1"/>
      <w:numFmt w:val="bullet"/>
      <w:lvlText w:val=""/>
      <w:lvlJc w:val="left"/>
      <w:pPr>
        <w:ind w:left="2160" w:hanging="360"/>
      </w:pPr>
      <w:rPr>
        <w:rFonts w:ascii="Wingdings" w:hAnsi="Wingdings" w:hint="default"/>
      </w:rPr>
    </w:lvl>
    <w:lvl w:ilvl="3" w:tplc="96060C32">
      <w:start w:val="1"/>
      <w:numFmt w:val="bullet"/>
      <w:lvlText w:val=""/>
      <w:lvlJc w:val="left"/>
      <w:pPr>
        <w:ind w:left="2880" w:hanging="360"/>
      </w:pPr>
      <w:rPr>
        <w:rFonts w:ascii="Symbol" w:hAnsi="Symbol" w:hint="default"/>
      </w:rPr>
    </w:lvl>
    <w:lvl w:ilvl="4" w:tplc="2AFC6D70">
      <w:start w:val="1"/>
      <w:numFmt w:val="bullet"/>
      <w:lvlText w:val="o"/>
      <w:lvlJc w:val="left"/>
      <w:pPr>
        <w:ind w:left="3600" w:hanging="360"/>
      </w:pPr>
      <w:rPr>
        <w:rFonts w:ascii="Courier New" w:hAnsi="Courier New" w:hint="default"/>
      </w:rPr>
    </w:lvl>
    <w:lvl w:ilvl="5" w:tplc="EB50E5D6">
      <w:start w:val="1"/>
      <w:numFmt w:val="bullet"/>
      <w:lvlText w:val=""/>
      <w:lvlJc w:val="left"/>
      <w:pPr>
        <w:ind w:left="4320" w:hanging="360"/>
      </w:pPr>
      <w:rPr>
        <w:rFonts w:ascii="Wingdings" w:hAnsi="Wingdings" w:hint="default"/>
      </w:rPr>
    </w:lvl>
    <w:lvl w:ilvl="6" w:tplc="E1868BF8">
      <w:start w:val="1"/>
      <w:numFmt w:val="bullet"/>
      <w:lvlText w:val=""/>
      <w:lvlJc w:val="left"/>
      <w:pPr>
        <w:ind w:left="5040" w:hanging="360"/>
      </w:pPr>
      <w:rPr>
        <w:rFonts w:ascii="Symbol" w:hAnsi="Symbol" w:hint="default"/>
      </w:rPr>
    </w:lvl>
    <w:lvl w:ilvl="7" w:tplc="2E141190">
      <w:start w:val="1"/>
      <w:numFmt w:val="bullet"/>
      <w:lvlText w:val="o"/>
      <w:lvlJc w:val="left"/>
      <w:pPr>
        <w:ind w:left="5760" w:hanging="360"/>
      </w:pPr>
      <w:rPr>
        <w:rFonts w:ascii="Courier New" w:hAnsi="Courier New" w:hint="default"/>
      </w:rPr>
    </w:lvl>
    <w:lvl w:ilvl="8" w:tplc="147C1DF0">
      <w:start w:val="1"/>
      <w:numFmt w:val="bullet"/>
      <w:lvlText w:val=""/>
      <w:lvlJc w:val="left"/>
      <w:pPr>
        <w:ind w:left="6480" w:hanging="360"/>
      </w:pPr>
      <w:rPr>
        <w:rFonts w:ascii="Wingdings" w:hAnsi="Wingdings" w:hint="default"/>
      </w:rPr>
    </w:lvl>
  </w:abstractNum>
  <w:abstractNum w:abstractNumId="6" w15:restartNumberingAfterBreak="0">
    <w:nsid w:val="565B235F"/>
    <w:multiLevelType w:val="hybridMultilevel"/>
    <w:tmpl w:val="7E922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06389E"/>
    <w:multiLevelType w:val="hybridMultilevel"/>
    <w:tmpl w:val="97447896"/>
    <w:lvl w:ilvl="0" w:tplc="A8A8C32C">
      <w:start w:val="1"/>
      <w:numFmt w:val="bullet"/>
      <w:lvlText w:val=""/>
      <w:lvlJc w:val="left"/>
      <w:pPr>
        <w:ind w:left="720" w:hanging="360"/>
      </w:pPr>
      <w:rPr>
        <w:rFonts w:ascii="Symbol" w:hAnsi="Symbol" w:hint="default"/>
      </w:rPr>
    </w:lvl>
    <w:lvl w:ilvl="1" w:tplc="085AAF04">
      <w:start w:val="1"/>
      <w:numFmt w:val="bullet"/>
      <w:lvlText w:val="o"/>
      <w:lvlJc w:val="left"/>
      <w:pPr>
        <w:ind w:left="1440" w:hanging="360"/>
      </w:pPr>
      <w:rPr>
        <w:rFonts w:ascii="Courier New" w:hAnsi="Courier New" w:hint="default"/>
      </w:rPr>
    </w:lvl>
    <w:lvl w:ilvl="2" w:tplc="A87AD620">
      <w:start w:val="1"/>
      <w:numFmt w:val="bullet"/>
      <w:lvlText w:val=""/>
      <w:lvlJc w:val="left"/>
      <w:pPr>
        <w:ind w:left="2160" w:hanging="360"/>
      </w:pPr>
      <w:rPr>
        <w:rFonts w:ascii="Wingdings" w:hAnsi="Wingdings" w:hint="default"/>
      </w:rPr>
    </w:lvl>
    <w:lvl w:ilvl="3" w:tplc="18DAC986">
      <w:start w:val="1"/>
      <w:numFmt w:val="bullet"/>
      <w:lvlText w:val=""/>
      <w:lvlJc w:val="left"/>
      <w:pPr>
        <w:ind w:left="2880" w:hanging="360"/>
      </w:pPr>
      <w:rPr>
        <w:rFonts w:ascii="Symbol" w:hAnsi="Symbol" w:hint="default"/>
      </w:rPr>
    </w:lvl>
    <w:lvl w:ilvl="4" w:tplc="A5FA05DA">
      <w:start w:val="1"/>
      <w:numFmt w:val="bullet"/>
      <w:lvlText w:val="o"/>
      <w:lvlJc w:val="left"/>
      <w:pPr>
        <w:ind w:left="3600" w:hanging="360"/>
      </w:pPr>
      <w:rPr>
        <w:rFonts w:ascii="Courier New" w:hAnsi="Courier New" w:hint="default"/>
      </w:rPr>
    </w:lvl>
    <w:lvl w:ilvl="5" w:tplc="C4FA42E0">
      <w:start w:val="1"/>
      <w:numFmt w:val="bullet"/>
      <w:lvlText w:val=""/>
      <w:lvlJc w:val="left"/>
      <w:pPr>
        <w:ind w:left="4320" w:hanging="360"/>
      </w:pPr>
      <w:rPr>
        <w:rFonts w:ascii="Wingdings" w:hAnsi="Wingdings" w:hint="default"/>
      </w:rPr>
    </w:lvl>
    <w:lvl w:ilvl="6" w:tplc="1BF62696">
      <w:start w:val="1"/>
      <w:numFmt w:val="bullet"/>
      <w:lvlText w:val=""/>
      <w:lvlJc w:val="left"/>
      <w:pPr>
        <w:ind w:left="5040" w:hanging="360"/>
      </w:pPr>
      <w:rPr>
        <w:rFonts w:ascii="Symbol" w:hAnsi="Symbol" w:hint="default"/>
      </w:rPr>
    </w:lvl>
    <w:lvl w:ilvl="7" w:tplc="ACD4D696">
      <w:start w:val="1"/>
      <w:numFmt w:val="bullet"/>
      <w:lvlText w:val="o"/>
      <w:lvlJc w:val="left"/>
      <w:pPr>
        <w:ind w:left="5760" w:hanging="360"/>
      </w:pPr>
      <w:rPr>
        <w:rFonts w:ascii="Courier New" w:hAnsi="Courier New" w:hint="default"/>
      </w:rPr>
    </w:lvl>
    <w:lvl w:ilvl="8" w:tplc="F6C0BAAC">
      <w:start w:val="1"/>
      <w:numFmt w:val="bullet"/>
      <w:lvlText w:val=""/>
      <w:lvlJc w:val="left"/>
      <w:pPr>
        <w:ind w:left="6480" w:hanging="360"/>
      </w:pPr>
      <w:rPr>
        <w:rFonts w:ascii="Wingdings" w:hAnsi="Wingdings" w:hint="default"/>
      </w:rPr>
    </w:lvl>
  </w:abstractNum>
  <w:abstractNum w:abstractNumId="8" w15:restartNumberingAfterBreak="0">
    <w:nsid w:val="6D0068A7"/>
    <w:multiLevelType w:val="hybridMultilevel"/>
    <w:tmpl w:val="30246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723701F7"/>
    <w:multiLevelType w:val="hybridMultilevel"/>
    <w:tmpl w:val="21FE5858"/>
    <w:lvl w:ilvl="0" w:tplc="BEC41498">
      <w:start w:val="1"/>
      <w:numFmt w:val="bullet"/>
      <w:lvlText w:val="§"/>
      <w:lvlJc w:val="left"/>
      <w:pPr>
        <w:ind w:left="720" w:hanging="360"/>
      </w:pPr>
      <w:rPr>
        <w:rFonts w:ascii="Wingdings" w:hAnsi="Wingdings" w:hint="default"/>
      </w:rPr>
    </w:lvl>
    <w:lvl w:ilvl="1" w:tplc="7086457A">
      <w:start w:val="1"/>
      <w:numFmt w:val="bullet"/>
      <w:lvlText w:val="o"/>
      <w:lvlJc w:val="left"/>
      <w:pPr>
        <w:ind w:left="1440" w:hanging="360"/>
      </w:pPr>
      <w:rPr>
        <w:rFonts w:ascii="Courier New" w:hAnsi="Courier New" w:hint="default"/>
      </w:rPr>
    </w:lvl>
    <w:lvl w:ilvl="2" w:tplc="BCF826B6">
      <w:start w:val="1"/>
      <w:numFmt w:val="bullet"/>
      <w:lvlText w:val=""/>
      <w:lvlJc w:val="left"/>
      <w:pPr>
        <w:ind w:left="2160" w:hanging="360"/>
      </w:pPr>
      <w:rPr>
        <w:rFonts w:ascii="Wingdings" w:hAnsi="Wingdings" w:hint="default"/>
      </w:rPr>
    </w:lvl>
    <w:lvl w:ilvl="3" w:tplc="57F4C146">
      <w:start w:val="1"/>
      <w:numFmt w:val="bullet"/>
      <w:lvlText w:val=""/>
      <w:lvlJc w:val="left"/>
      <w:pPr>
        <w:ind w:left="2880" w:hanging="360"/>
      </w:pPr>
      <w:rPr>
        <w:rFonts w:ascii="Symbol" w:hAnsi="Symbol" w:hint="default"/>
      </w:rPr>
    </w:lvl>
    <w:lvl w:ilvl="4" w:tplc="0D107D9A">
      <w:start w:val="1"/>
      <w:numFmt w:val="bullet"/>
      <w:lvlText w:val="o"/>
      <w:lvlJc w:val="left"/>
      <w:pPr>
        <w:ind w:left="3600" w:hanging="360"/>
      </w:pPr>
      <w:rPr>
        <w:rFonts w:ascii="Courier New" w:hAnsi="Courier New" w:hint="default"/>
      </w:rPr>
    </w:lvl>
    <w:lvl w:ilvl="5" w:tplc="046E3CF6">
      <w:start w:val="1"/>
      <w:numFmt w:val="bullet"/>
      <w:lvlText w:val=""/>
      <w:lvlJc w:val="left"/>
      <w:pPr>
        <w:ind w:left="4320" w:hanging="360"/>
      </w:pPr>
      <w:rPr>
        <w:rFonts w:ascii="Wingdings" w:hAnsi="Wingdings" w:hint="default"/>
      </w:rPr>
    </w:lvl>
    <w:lvl w:ilvl="6" w:tplc="0818BB2A">
      <w:start w:val="1"/>
      <w:numFmt w:val="bullet"/>
      <w:lvlText w:val=""/>
      <w:lvlJc w:val="left"/>
      <w:pPr>
        <w:ind w:left="5040" w:hanging="360"/>
      </w:pPr>
      <w:rPr>
        <w:rFonts w:ascii="Symbol" w:hAnsi="Symbol" w:hint="default"/>
      </w:rPr>
    </w:lvl>
    <w:lvl w:ilvl="7" w:tplc="D46A82EA">
      <w:start w:val="1"/>
      <w:numFmt w:val="bullet"/>
      <w:lvlText w:val="o"/>
      <w:lvlJc w:val="left"/>
      <w:pPr>
        <w:ind w:left="5760" w:hanging="360"/>
      </w:pPr>
      <w:rPr>
        <w:rFonts w:ascii="Courier New" w:hAnsi="Courier New" w:hint="default"/>
      </w:rPr>
    </w:lvl>
    <w:lvl w:ilvl="8" w:tplc="E0300FAE">
      <w:start w:val="1"/>
      <w:numFmt w:val="bullet"/>
      <w:lvlText w:val=""/>
      <w:lvlJc w:val="left"/>
      <w:pPr>
        <w:ind w:left="6480" w:hanging="360"/>
      </w:pPr>
      <w:rPr>
        <w:rFonts w:ascii="Wingdings" w:hAnsi="Wingdings" w:hint="default"/>
      </w:rPr>
    </w:lvl>
  </w:abstractNum>
  <w:num w:numId="1" w16cid:durableId="4066074">
    <w:abstractNumId w:val="3"/>
  </w:num>
  <w:num w:numId="2" w16cid:durableId="1224752756">
    <w:abstractNumId w:val="5"/>
  </w:num>
  <w:num w:numId="3" w16cid:durableId="1514371852">
    <w:abstractNumId w:val="9"/>
  </w:num>
  <w:num w:numId="4" w16cid:durableId="47607612">
    <w:abstractNumId w:val="7"/>
  </w:num>
  <w:num w:numId="5" w16cid:durableId="2022319958">
    <w:abstractNumId w:val="4"/>
  </w:num>
  <w:num w:numId="6" w16cid:durableId="1487042974">
    <w:abstractNumId w:val="2"/>
  </w:num>
  <w:num w:numId="7" w16cid:durableId="1910185355">
    <w:abstractNumId w:val="1"/>
  </w:num>
  <w:num w:numId="8" w16cid:durableId="1477648492">
    <w:abstractNumId w:val="6"/>
  </w:num>
  <w:num w:numId="9" w16cid:durableId="866137007">
    <w:abstractNumId w:val="8"/>
  </w:num>
  <w:num w:numId="10" w16cid:durableId="6524899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FE0"/>
    <w:rsid w:val="001204F2"/>
    <w:rsid w:val="00282FE0"/>
    <w:rsid w:val="002F7FED"/>
    <w:rsid w:val="00316646"/>
    <w:rsid w:val="00374C98"/>
    <w:rsid w:val="003B4C44"/>
    <w:rsid w:val="00421793"/>
    <w:rsid w:val="00433A72"/>
    <w:rsid w:val="00470378"/>
    <w:rsid w:val="004D68C7"/>
    <w:rsid w:val="004F693A"/>
    <w:rsid w:val="0053537E"/>
    <w:rsid w:val="00661CC1"/>
    <w:rsid w:val="007A0737"/>
    <w:rsid w:val="0088276C"/>
    <w:rsid w:val="008E02C6"/>
    <w:rsid w:val="00903641"/>
    <w:rsid w:val="00926864"/>
    <w:rsid w:val="00A14A9A"/>
    <w:rsid w:val="00A15D7B"/>
    <w:rsid w:val="00A50F80"/>
    <w:rsid w:val="00A90A48"/>
    <w:rsid w:val="00AA0E27"/>
    <w:rsid w:val="00BE5B46"/>
    <w:rsid w:val="00EC20DE"/>
    <w:rsid w:val="00ED6C28"/>
    <w:rsid w:val="2E6D4608"/>
    <w:rsid w:val="501B839F"/>
    <w:rsid w:val="5AF5E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DE7D1"/>
  <w15:chartTrackingRefBased/>
  <w15:docId w15:val="{BCEBFDEB-C17C-4BD7-AF22-84C311FE7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82F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2FE0"/>
    <w:pPr>
      <w:ind w:left="720"/>
      <w:contextualSpacing/>
    </w:p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316646"/>
    <w:rPr>
      <w:color w:val="0563C1" w:themeColor="hyperlink"/>
      <w:u w:val="single"/>
    </w:rPr>
  </w:style>
  <w:style w:type="character" w:styleId="UnresolvedMention">
    <w:name w:val="Unresolved Mention"/>
    <w:basedOn w:val="DefaultParagraphFont"/>
    <w:uiPriority w:val="99"/>
    <w:semiHidden/>
    <w:unhideWhenUsed/>
    <w:rsid w:val="003166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0935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nm@greenvillemed.sc.edu" TargetMode="External"/><Relationship Id="rId5" Type="http://schemas.openxmlformats.org/officeDocument/2006/relationships/hyperlink" Target="mailto:Shannon.Burgess@prismahealth.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917</Words>
  <Characters>5227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South Carolina</Company>
  <LinksUpToDate>false</LinksUpToDate>
  <CharactersWithSpaces>6132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RUPPEL, SHANNON</dc:creator>
  <cp:keywords/>
  <dc:description/>
  <cp:lastModifiedBy>Natalie Carey</cp:lastModifiedBy>
  <cp:revision>2</cp:revision>
  <dcterms:created xsi:type="dcterms:W3CDTF">2024-03-15T13:24:00Z</dcterms:created>
  <dcterms:modified xsi:type="dcterms:W3CDTF">2024-03-15T13:24:00Z</dcterms:modified>
</cp:coreProperties>
</file>